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598C2" w14:textId="78935465" w:rsidR="00F15B59" w:rsidRPr="0052514D" w:rsidRDefault="00F15B59" w:rsidP="00F15B5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6451AB" w:rsidRPr="006451AB">
        <w:rPr>
          <w:rFonts w:eastAsia="SimSun" w:cs="Arial"/>
          <w:sz w:val="24"/>
          <w:szCs w:val="24"/>
          <w:lang w:eastAsia="zh-CN"/>
        </w:rPr>
        <w:t>R4-2416413</w:t>
      </w:r>
      <w:bookmarkStart w:id="4" w:name="_GoBack"/>
      <w:bookmarkEnd w:id="4"/>
    </w:p>
    <w:p w14:paraId="6AB24163" w14:textId="77777777" w:rsidR="00F15B59" w:rsidRPr="0052514D" w:rsidRDefault="00F15B59" w:rsidP="00F15B59">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Huawei, HiSilicon</w:t>
      </w:r>
    </w:p>
    <w:p w14:paraId="0B451718" w14:textId="24D519DA" w:rsidR="00D211C7" w:rsidRPr="00F47C3D" w:rsidRDefault="005929A6" w:rsidP="00A8300D">
      <w:pPr>
        <w:tabs>
          <w:tab w:val="left" w:pos="1985"/>
        </w:tabs>
        <w:ind w:left="1980" w:hanging="1980"/>
        <w:jc w:val="both"/>
        <w:rPr>
          <w:rFonts w:ascii="Arial" w:hAnsi="Arial" w:cs="Arial"/>
          <w:sz w:val="22"/>
        </w:rPr>
      </w:pPr>
      <w:r w:rsidRPr="00FD5D9B">
        <w:rPr>
          <w:rFonts w:ascii="Arial" w:hAnsi="Arial" w:cs="Arial"/>
          <w:b/>
          <w:sz w:val="22"/>
        </w:rPr>
        <w:t>Title:</w:t>
      </w:r>
      <w:r w:rsidRPr="00FD5D9B">
        <w:rPr>
          <w:rFonts w:ascii="Arial" w:hAnsi="Arial" w:cs="Arial"/>
          <w:sz w:val="22"/>
        </w:rPr>
        <w:t xml:space="preserve"> </w:t>
      </w:r>
      <w:r w:rsidRPr="00FD5D9B">
        <w:rPr>
          <w:rFonts w:ascii="Arial" w:hAnsi="Arial" w:cs="Arial"/>
          <w:sz w:val="22"/>
        </w:rPr>
        <w:tab/>
      </w:r>
      <w:r w:rsidR="00A8300D">
        <w:rPr>
          <w:rFonts w:ascii="Arial" w:hAnsi="Arial" w:cs="Arial"/>
          <w:sz w:val="22"/>
        </w:rPr>
        <w:tab/>
      </w:r>
      <w:r w:rsidR="00A17EA3" w:rsidRPr="00A17EA3">
        <w:rPr>
          <w:rFonts w:ascii="Arial" w:hAnsi="Arial" w:cs="Arial"/>
          <w:sz w:val="22"/>
        </w:rPr>
        <w:t xml:space="preserve">TP to TR 38.922: clean-up for 4400 </w:t>
      </w:r>
      <w:r w:rsidR="00A17EA3">
        <w:rPr>
          <w:rFonts w:ascii="Arial" w:hAnsi="Arial" w:cs="Arial"/>
          <w:sz w:val="22"/>
        </w:rPr>
        <w:t>to</w:t>
      </w:r>
      <w:r w:rsidR="00A17EA3">
        <w:rPr>
          <w:rFonts w:ascii="Arial" w:hAnsi="Arial" w:cs="Arial"/>
          <w:sz w:val="22"/>
        </w:rPr>
        <w:tab/>
        <w:t xml:space="preserve"> </w:t>
      </w:r>
      <w:r w:rsidR="00A17EA3" w:rsidRPr="00A17EA3">
        <w:rPr>
          <w:rFonts w:ascii="Arial" w:hAnsi="Arial" w:cs="Arial"/>
          <w:sz w:val="22"/>
        </w:rPr>
        <w:t>48</w:t>
      </w:r>
      <w:r w:rsidR="00A17EA3">
        <w:rPr>
          <w:rFonts w:ascii="Arial" w:hAnsi="Arial" w:cs="Arial"/>
          <w:sz w:val="22"/>
        </w:rPr>
        <w:t>0</w:t>
      </w:r>
      <w:r w:rsidR="00A17EA3" w:rsidRPr="00A17EA3">
        <w:rPr>
          <w:rFonts w:ascii="Arial" w:hAnsi="Arial" w:cs="Arial"/>
          <w:sz w:val="22"/>
        </w:rPr>
        <w:t>0 MHz frequency range section</w:t>
      </w:r>
    </w:p>
    <w:p w14:paraId="1AA54E92" w14:textId="315A2990" w:rsidR="005929A6" w:rsidRPr="0091017F" w:rsidRDefault="005929A6" w:rsidP="00D211C7">
      <w:pPr>
        <w:tabs>
          <w:tab w:val="left" w:pos="1985"/>
        </w:tabs>
        <w:jc w:val="both"/>
        <w:rPr>
          <w:rFonts w:ascii="Arial" w:eastAsia="SimSun" w:hAnsi="Arial" w:cs="Arial"/>
          <w:sz w:val="22"/>
          <w:lang w:eastAsia="zh-CN"/>
        </w:rPr>
      </w:pPr>
      <w:r w:rsidRPr="00F47C3D">
        <w:rPr>
          <w:rFonts w:ascii="Arial" w:hAnsi="Arial" w:cs="Arial"/>
          <w:b/>
          <w:sz w:val="22"/>
        </w:rPr>
        <w:t>Agen</w:t>
      </w:r>
      <w:r w:rsidR="007B3E89" w:rsidRPr="00F47C3D">
        <w:rPr>
          <w:rFonts w:ascii="Arial" w:eastAsia="SimSun" w:hAnsi="Arial" w:cs="Arial" w:hint="eastAsia"/>
          <w:b/>
          <w:sz w:val="22"/>
          <w:lang w:eastAsia="zh-CN"/>
        </w:rPr>
        <w:t>d</w:t>
      </w:r>
      <w:r w:rsidRPr="00F47C3D">
        <w:rPr>
          <w:rFonts w:ascii="Arial" w:hAnsi="Arial" w:cs="Arial"/>
          <w:b/>
          <w:sz w:val="22"/>
        </w:rPr>
        <w:t>a Item:</w:t>
      </w:r>
      <w:r w:rsidR="00291E51" w:rsidRPr="00F47C3D">
        <w:rPr>
          <w:rFonts w:ascii="Arial" w:hAnsi="Arial" w:cs="Arial"/>
          <w:sz w:val="22"/>
        </w:rPr>
        <w:tab/>
      </w:r>
      <w:r w:rsidR="00F15B59">
        <w:rPr>
          <w:rFonts w:ascii="Arial" w:eastAsia="SimSun" w:hAnsi="Arial" w:cs="Arial"/>
          <w:sz w:val="22"/>
          <w:lang w:eastAsia="zh-CN"/>
        </w:rPr>
        <w:t>6.2</w:t>
      </w:r>
      <w:r w:rsidR="00A17EA3">
        <w:rPr>
          <w:rFonts w:ascii="Arial" w:eastAsia="SimSun" w:hAnsi="Arial" w:cs="Arial"/>
          <w:sz w:val="22"/>
          <w:lang w:eastAsia="zh-CN"/>
        </w:rPr>
        <w:t>.2</w:t>
      </w:r>
    </w:p>
    <w:p w14:paraId="52C3FD79" w14:textId="14B555F2"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A17EA3">
        <w:rPr>
          <w:rFonts w:ascii="Arial" w:eastAsia="SimSun" w:hAnsi="Arial" w:cs="Arial"/>
          <w:sz w:val="22"/>
          <w:lang w:eastAsia="zh-CN"/>
        </w:rPr>
        <w:t>Approval</w:t>
      </w:r>
    </w:p>
    <w:bookmarkEnd w:id="2"/>
    <w:bookmarkEnd w:id="3"/>
    <w:p w14:paraId="3EE62A4A" w14:textId="6285ACA2" w:rsidR="00BB1083" w:rsidRPr="00EB24F6" w:rsidRDefault="007726F1" w:rsidP="000619A6">
      <w:pPr>
        <w:pStyle w:val="Heading1"/>
      </w:pPr>
      <w:r w:rsidRPr="00EB24F6">
        <w:t>Introduction</w:t>
      </w:r>
    </w:p>
    <w:p w14:paraId="22B4F362" w14:textId="2A5D33FD" w:rsidR="00FD5D9B" w:rsidRDefault="00021398" w:rsidP="00E605DB">
      <w:pPr>
        <w:widowControl w:val="0"/>
        <w:overflowPunct/>
        <w:autoSpaceDE/>
        <w:autoSpaceDN/>
        <w:adjustRightInd/>
        <w:spacing w:after="0"/>
        <w:textAlignment w:val="auto"/>
      </w:pPr>
      <w:r w:rsidRPr="00EB24F6">
        <w:t xml:space="preserve">In this contribution, </w:t>
      </w:r>
      <w:r w:rsidR="00F15B59">
        <w:t>we</w:t>
      </w:r>
      <w:r w:rsidR="00A17EA3">
        <w:t xml:space="preserve"> provide clean-up TP to TR 38.922 for clause 4 on </w:t>
      </w:r>
      <w:r w:rsidR="00A17EA3" w:rsidRPr="00E27FA5">
        <w:t xml:space="preserve">4400 </w:t>
      </w:r>
      <w:r w:rsidR="00A17EA3">
        <w:t>-</w:t>
      </w:r>
      <w:r w:rsidR="00A17EA3" w:rsidRPr="00E27FA5">
        <w:t xml:space="preserve"> 4800 MHz</w:t>
      </w:r>
      <w:r w:rsidR="00A17EA3">
        <w:t xml:space="preserve"> frequency range</w:t>
      </w:r>
      <w:r w:rsidRPr="00EB24F6">
        <w:t>.</w:t>
      </w:r>
      <w:r w:rsidR="00F506E4">
        <w:t xml:space="preserve"> </w:t>
      </w:r>
      <w:r w:rsidR="007805A4">
        <w:t>It was motivated by the fact, that this TR is an external Technical Report, which is expected to be used by ITU experts, who may not be familiar with 3GPP specifications. Therefore, it was seen important to improve quality of the TS 38.922.</w:t>
      </w:r>
    </w:p>
    <w:p w14:paraId="79432B40" w14:textId="77777777" w:rsidR="007805A4" w:rsidRDefault="007805A4" w:rsidP="00E605DB">
      <w:pPr>
        <w:widowControl w:val="0"/>
        <w:overflowPunct/>
        <w:autoSpaceDE/>
        <w:autoSpaceDN/>
        <w:adjustRightInd/>
        <w:spacing w:after="0"/>
        <w:textAlignment w:val="auto"/>
      </w:pPr>
    </w:p>
    <w:p w14:paraId="50055F09" w14:textId="4FAC09CF" w:rsidR="00193351" w:rsidRDefault="00193351" w:rsidP="00E605DB">
      <w:pPr>
        <w:widowControl w:val="0"/>
        <w:overflowPunct/>
        <w:autoSpaceDE/>
        <w:autoSpaceDN/>
        <w:adjustRightInd/>
        <w:spacing w:after="0"/>
        <w:textAlignment w:val="auto"/>
      </w:pPr>
      <w:r>
        <w:t xml:space="preserve">For convenience of implementation, related TP is provided in the attached file, based on </w:t>
      </w:r>
      <w:r w:rsidR="0065378D">
        <w:t>full volume of the latest TS 38.922 v0.2.0.</w:t>
      </w:r>
      <w:r w:rsidR="00C21BAF">
        <w:t xml:space="preserve"> </w:t>
      </w:r>
    </w:p>
    <w:p w14:paraId="36AED793" w14:textId="4C46164B" w:rsidR="00D17844" w:rsidRDefault="00352855" w:rsidP="00D17844">
      <w:pPr>
        <w:pStyle w:val="Heading1"/>
        <w:rPr>
          <w:lang w:eastAsia="zh-CN"/>
        </w:rPr>
      </w:pPr>
      <w:r w:rsidRPr="00EB24F6">
        <w:rPr>
          <w:lang w:eastAsia="zh-CN"/>
        </w:rPr>
        <w:t>D</w:t>
      </w:r>
      <w:r w:rsidRPr="00EB24F6">
        <w:rPr>
          <w:rFonts w:hint="eastAsia"/>
          <w:lang w:eastAsia="zh-CN"/>
        </w:rPr>
        <w:t>iscussion</w:t>
      </w:r>
    </w:p>
    <w:p w14:paraId="37D2292B" w14:textId="028E010F" w:rsidR="00A17EA3" w:rsidRPr="00C237AE" w:rsidRDefault="00F506E4" w:rsidP="005144E8">
      <w:pPr>
        <w:rPr>
          <w:lang w:eastAsia="zh-CN"/>
        </w:rPr>
      </w:pPr>
      <w:r>
        <w:rPr>
          <w:lang w:eastAsia="zh-CN"/>
        </w:rPr>
        <w:t xml:space="preserve">The following aspects </w:t>
      </w:r>
      <w:r w:rsidRPr="00C237AE">
        <w:rPr>
          <w:lang w:eastAsia="zh-CN"/>
        </w:rPr>
        <w:t xml:space="preserve">were corrected: </w:t>
      </w:r>
    </w:p>
    <w:p w14:paraId="4F90B387" w14:textId="77DE6C59" w:rsidR="00F506E4" w:rsidRPr="00C237AE" w:rsidRDefault="00F506E4" w:rsidP="00F506E4">
      <w:pPr>
        <w:pStyle w:val="ListParagraph"/>
        <w:numPr>
          <w:ilvl w:val="0"/>
          <w:numId w:val="17"/>
        </w:numPr>
        <w:ind w:firstLineChars="0"/>
        <w:rPr>
          <w:rFonts w:ascii="Times New Roman" w:hAnsi="Times New Roman" w:cs="Times New Roman"/>
          <w:sz w:val="20"/>
          <w:szCs w:val="20"/>
        </w:rPr>
      </w:pPr>
      <w:r w:rsidRPr="00C237AE">
        <w:rPr>
          <w:rFonts w:ascii="Times New Roman" w:hAnsi="Times New Roman" w:cs="Times New Roman"/>
          <w:sz w:val="20"/>
          <w:szCs w:val="20"/>
        </w:rPr>
        <w:t>Missing references added</w:t>
      </w:r>
      <w:r w:rsidR="0013358C">
        <w:rPr>
          <w:rFonts w:ascii="Times New Roman" w:hAnsi="Times New Roman" w:cs="Times New Roman"/>
          <w:sz w:val="20"/>
          <w:szCs w:val="20"/>
        </w:rPr>
        <w:t xml:space="preserve">, including reference to the future LS on </w:t>
      </w:r>
      <w:r w:rsidR="0013358C" w:rsidRPr="0013358C">
        <w:rPr>
          <w:rFonts w:ascii="Times New Roman" w:hAnsi="Times New Roman" w:cs="Times New Roman"/>
          <w:sz w:val="20"/>
          <w:szCs w:val="20"/>
        </w:rPr>
        <w:t>14800 to 15350 MHz</w:t>
      </w:r>
      <w:r w:rsidR="0013358C">
        <w:rPr>
          <w:rFonts w:ascii="Times New Roman" w:hAnsi="Times New Roman" w:cs="Times New Roman"/>
          <w:sz w:val="20"/>
          <w:szCs w:val="20"/>
        </w:rPr>
        <w:t xml:space="preserve"> parameters</w:t>
      </w:r>
      <w:r w:rsidRPr="00C237AE">
        <w:rPr>
          <w:rFonts w:ascii="Times New Roman" w:hAnsi="Times New Roman" w:cs="Times New Roman"/>
          <w:sz w:val="20"/>
          <w:szCs w:val="20"/>
        </w:rPr>
        <w:t xml:space="preserve">, </w:t>
      </w:r>
    </w:p>
    <w:p w14:paraId="601665B2" w14:textId="220D8E0A" w:rsidR="00F506E4" w:rsidRPr="00C237AE" w:rsidRDefault="00F506E4" w:rsidP="00F506E4">
      <w:pPr>
        <w:pStyle w:val="ListParagraph"/>
        <w:numPr>
          <w:ilvl w:val="0"/>
          <w:numId w:val="17"/>
        </w:numPr>
        <w:ind w:firstLineChars="0"/>
        <w:rPr>
          <w:rFonts w:ascii="Times New Roman" w:hAnsi="Times New Roman" w:cs="Times New Roman"/>
          <w:sz w:val="20"/>
          <w:szCs w:val="20"/>
        </w:rPr>
      </w:pPr>
      <w:r w:rsidRPr="00C237AE">
        <w:rPr>
          <w:rFonts w:ascii="Times New Roman" w:hAnsi="Times New Roman" w:cs="Times New Roman"/>
          <w:sz w:val="20"/>
          <w:szCs w:val="20"/>
        </w:rPr>
        <w:t xml:space="preserve">Missing terms, symbols, abbreviations added, </w:t>
      </w:r>
    </w:p>
    <w:p w14:paraId="2EF4CEAA" w14:textId="17E21B87" w:rsidR="00F506E4" w:rsidRDefault="00F506E4" w:rsidP="00F506E4">
      <w:pPr>
        <w:pStyle w:val="ListParagraph"/>
        <w:numPr>
          <w:ilvl w:val="0"/>
          <w:numId w:val="17"/>
        </w:numPr>
        <w:ind w:firstLineChars="0"/>
        <w:rPr>
          <w:rFonts w:ascii="Times New Roman" w:hAnsi="Times New Roman" w:cs="Times New Roman"/>
          <w:sz w:val="20"/>
          <w:szCs w:val="20"/>
        </w:rPr>
      </w:pPr>
      <w:r w:rsidRPr="00C237AE">
        <w:rPr>
          <w:rFonts w:ascii="Times New Roman" w:hAnsi="Times New Roman" w:cs="Times New Roman"/>
          <w:sz w:val="20"/>
          <w:szCs w:val="20"/>
        </w:rPr>
        <w:t xml:space="preserve">Multiple cross-references corrected, </w:t>
      </w:r>
    </w:p>
    <w:p w14:paraId="3FC4D7B5" w14:textId="271171E1" w:rsidR="00F506E4" w:rsidRDefault="00F506E4" w:rsidP="00F506E4">
      <w:pPr>
        <w:pStyle w:val="ListParagraph"/>
        <w:numPr>
          <w:ilvl w:val="0"/>
          <w:numId w:val="17"/>
        </w:numPr>
        <w:ind w:firstLineChars="0"/>
        <w:rPr>
          <w:rFonts w:ascii="Times New Roman" w:hAnsi="Times New Roman" w:cs="Times New Roman"/>
          <w:sz w:val="20"/>
          <w:szCs w:val="20"/>
        </w:rPr>
      </w:pPr>
      <w:r w:rsidRPr="00C237AE">
        <w:rPr>
          <w:rFonts w:ascii="Times New Roman" w:hAnsi="Times New Roman" w:cs="Times New Roman"/>
          <w:sz w:val="20"/>
          <w:szCs w:val="20"/>
        </w:rPr>
        <w:t>Requirements section corrected to clarify that n79 requirements were reused and referred from NR specifications,</w:t>
      </w:r>
    </w:p>
    <w:p w14:paraId="634A8686" w14:textId="0B03AC4C" w:rsidR="001C37B4" w:rsidRPr="00C237AE" w:rsidRDefault="001C37B4" w:rsidP="00F506E4">
      <w:pPr>
        <w:pStyle w:val="ListParagraph"/>
        <w:numPr>
          <w:ilvl w:val="0"/>
          <w:numId w:val="17"/>
        </w:numPr>
        <w:ind w:firstLineChars="0"/>
        <w:rPr>
          <w:rFonts w:ascii="Times New Roman" w:hAnsi="Times New Roman" w:cs="Times New Roman"/>
          <w:sz w:val="20"/>
          <w:szCs w:val="20"/>
        </w:rPr>
      </w:pPr>
      <w:r>
        <w:rPr>
          <w:rFonts w:ascii="Times New Roman" w:hAnsi="Times New Roman" w:cs="Times New Roman"/>
          <w:sz w:val="20"/>
          <w:szCs w:val="20"/>
        </w:rPr>
        <w:t xml:space="preserve">Wording correction </w:t>
      </w:r>
      <w:r w:rsidRPr="00C237AE">
        <w:rPr>
          <w:rFonts w:ascii="Times New Roman" w:hAnsi="Times New Roman" w:cs="Times New Roman"/>
          <w:sz w:val="20"/>
          <w:szCs w:val="20"/>
        </w:rPr>
        <w:t>to improve readability</w:t>
      </w:r>
      <w:r w:rsidR="005D302E">
        <w:rPr>
          <w:rFonts w:ascii="Times New Roman" w:hAnsi="Times New Roman" w:cs="Times New Roman"/>
          <w:sz w:val="20"/>
          <w:szCs w:val="20"/>
        </w:rPr>
        <w:t xml:space="preserve"> and consistency</w:t>
      </w:r>
      <w:r>
        <w:rPr>
          <w:rFonts w:ascii="Times New Roman" w:hAnsi="Times New Roman" w:cs="Times New Roman"/>
          <w:sz w:val="20"/>
          <w:szCs w:val="20"/>
        </w:rPr>
        <w:t>,</w:t>
      </w:r>
    </w:p>
    <w:p w14:paraId="1D243499" w14:textId="76B5EF14" w:rsidR="00F506E4" w:rsidRPr="00C237AE" w:rsidRDefault="00F506E4" w:rsidP="00F506E4">
      <w:pPr>
        <w:pStyle w:val="ListParagraph"/>
        <w:numPr>
          <w:ilvl w:val="0"/>
          <w:numId w:val="17"/>
        </w:numPr>
        <w:ind w:firstLineChars="0"/>
        <w:rPr>
          <w:rFonts w:ascii="Times New Roman" w:hAnsi="Times New Roman" w:cs="Times New Roman"/>
          <w:sz w:val="20"/>
          <w:szCs w:val="20"/>
        </w:rPr>
      </w:pPr>
      <w:r w:rsidRPr="00C237AE">
        <w:rPr>
          <w:rFonts w:ascii="Times New Roman" w:hAnsi="Times New Roman" w:cs="Times New Roman"/>
          <w:sz w:val="20"/>
          <w:szCs w:val="20"/>
        </w:rPr>
        <w:t xml:space="preserve">Other editorial corrections. </w:t>
      </w:r>
    </w:p>
    <w:p w14:paraId="6F812FD7" w14:textId="4A152FBC" w:rsidR="00CD26E5" w:rsidRPr="00064F2B" w:rsidRDefault="00CD26E5" w:rsidP="00CD26E5">
      <w:pPr>
        <w:pStyle w:val="Heading1"/>
      </w:pPr>
      <w:r w:rsidRPr="00064F2B">
        <w:t xml:space="preserve">Conclusions </w:t>
      </w:r>
    </w:p>
    <w:p w14:paraId="674B2C45" w14:textId="77777777" w:rsidR="002836BE" w:rsidRPr="00603483" w:rsidRDefault="002836BE" w:rsidP="007A2E9E">
      <w:pPr>
        <w:rPr>
          <w:lang w:eastAsia="zh-CN"/>
        </w:rPr>
      </w:pPr>
      <w:r w:rsidRPr="00064F2B">
        <w:rPr>
          <w:lang w:eastAsia="zh-CN"/>
        </w:rPr>
        <w:t xml:space="preserve">Based on </w:t>
      </w:r>
      <w:r w:rsidRPr="00603483">
        <w:rPr>
          <w:lang w:eastAsia="zh-CN"/>
        </w:rPr>
        <w:t xml:space="preserve">the discussion above, the following proposals were formulated: </w:t>
      </w:r>
    </w:p>
    <w:p w14:paraId="3B5DBEC0" w14:textId="67BCB5DF" w:rsidR="005D3317" w:rsidRDefault="005716DA" w:rsidP="00C21BAF">
      <w:r w:rsidRPr="00603483">
        <w:rPr>
          <w:b/>
        </w:rPr>
        <w:t>Proposal 1:</w:t>
      </w:r>
      <w:r w:rsidR="00C04C79">
        <w:rPr>
          <w:b/>
        </w:rPr>
        <w:t xml:space="preserve"> </w:t>
      </w:r>
      <w:r w:rsidR="00C04C79" w:rsidRPr="00C04C79">
        <w:t>Approve the attached TP to TR 38</w:t>
      </w:r>
      <w:r w:rsidR="00C04C79">
        <w:t xml:space="preserve">.922 for clause 4 on </w:t>
      </w:r>
      <w:r w:rsidR="00C04C79" w:rsidRPr="00E27FA5">
        <w:t xml:space="preserve">4400 </w:t>
      </w:r>
      <w:r w:rsidR="00C04C79">
        <w:t>-</w:t>
      </w:r>
      <w:r w:rsidR="00C04C79" w:rsidRPr="00E27FA5">
        <w:t xml:space="preserve"> 4800 MHz</w:t>
      </w:r>
      <w:r w:rsidR="00C04C79">
        <w:t xml:space="preserve"> frequency range.</w:t>
      </w:r>
    </w:p>
    <w:sectPr w:rsidR="005D331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BD7E" w14:textId="77777777" w:rsidR="00926C46" w:rsidRDefault="00926C46">
      <w:r>
        <w:separator/>
      </w:r>
    </w:p>
  </w:endnote>
  <w:endnote w:type="continuationSeparator" w:id="0">
    <w:p w14:paraId="3C0EF647" w14:textId="77777777" w:rsidR="00926C46" w:rsidRDefault="0092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9A7F6" w14:textId="77777777" w:rsidR="00926C46" w:rsidRDefault="00926C46">
      <w:r>
        <w:separator/>
      </w:r>
    </w:p>
  </w:footnote>
  <w:footnote w:type="continuationSeparator" w:id="0">
    <w:p w14:paraId="41496517" w14:textId="77777777" w:rsidR="00926C46" w:rsidRDefault="0092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45436E4"/>
    <w:multiLevelType w:val="hybridMultilevel"/>
    <w:tmpl w:val="911A0244"/>
    <w:lvl w:ilvl="0" w:tplc="95183C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8"/>
  </w:num>
  <w:num w:numId="4">
    <w:abstractNumId w:val="16"/>
  </w:num>
  <w:num w:numId="5">
    <w:abstractNumId w:val="2"/>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0"/>
  </w:num>
  <w:num w:numId="10">
    <w:abstractNumId w:val="11"/>
  </w:num>
  <w:num w:numId="11">
    <w:abstractNumId w:val="15"/>
  </w:num>
  <w:num w:numId="12">
    <w:abstractNumId w:val="4"/>
  </w:num>
  <w:num w:numId="13">
    <w:abstractNumId w:val="12"/>
  </w:num>
  <w:num w:numId="14">
    <w:abstractNumId w:val="1"/>
  </w:num>
  <w:num w:numId="15">
    <w:abstractNumId w:val="13"/>
  </w:num>
  <w:num w:numId="16">
    <w:abstractNumId w:val="9"/>
  </w:num>
  <w:num w:numId="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C7A"/>
    <w:rsid w:val="00055EF5"/>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CD9"/>
    <w:rsid w:val="000D02AA"/>
    <w:rsid w:val="000D0DA0"/>
    <w:rsid w:val="000D15D6"/>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B57"/>
    <w:rsid w:val="000E1093"/>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58C"/>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51"/>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7B4"/>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45"/>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29D"/>
    <w:rsid w:val="001E4374"/>
    <w:rsid w:val="001E4987"/>
    <w:rsid w:val="001E4ACC"/>
    <w:rsid w:val="001E4F66"/>
    <w:rsid w:val="001E5665"/>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3BBF"/>
    <w:rsid w:val="0023456C"/>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5D"/>
    <w:rsid w:val="002639DA"/>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EA6"/>
    <w:rsid w:val="00374A4E"/>
    <w:rsid w:val="00375734"/>
    <w:rsid w:val="003757EE"/>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499"/>
    <w:rsid w:val="00393614"/>
    <w:rsid w:val="003936F2"/>
    <w:rsid w:val="00393873"/>
    <w:rsid w:val="0039440C"/>
    <w:rsid w:val="00394641"/>
    <w:rsid w:val="00394AAF"/>
    <w:rsid w:val="00394D01"/>
    <w:rsid w:val="0039607A"/>
    <w:rsid w:val="00396825"/>
    <w:rsid w:val="003A02DC"/>
    <w:rsid w:val="003A143D"/>
    <w:rsid w:val="003A188D"/>
    <w:rsid w:val="003A1B19"/>
    <w:rsid w:val="003A25FD"/>
    <w:rsid w:val="003A2887"/>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5891"/>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08F"/>
    <w:rsid w:val="004E23A7"/>
    <w:rsid w:val="004E2453"/>
    <w:rsid w:val="004E2554"/>
    <w:rsid w:val="004E3AF7"/>
    <w:rsid w:val="004E5418"/>
    <w:rsid w:val="004E5D84"/>
    <w:rsid w:val="004E68C1"/>
    <w:rsid w:val="004E6B02"/>
    <w:rsid w:val="004E76F5"/>
    <w:rsid w:val="004E7C97"/>
    <w:rsid w:val="004F065D"/>
    <w:rsid w:val="004F16E2"/>
    <w:rsid w:val="004F21EE"/>
    <w:rsid w:val="004F2A07"/>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4E8"/>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0A3F"/>
    <w:rsid w:val="005716DA"/>
    <w:rsid w:val="0057170A"/>
    <w:rsid w:val="00572570"/>
    <w:rsid w:val="00572A4C"/>
    <w:rsid w:val="00572A9E"/>
    <w:rsid w:val="00573284"/>
    <w:rsid w:val="005735CB"/>
    <w:rsid w:val="00573D0C"/>
    <w:rsid w:val="00573D15"/>
    <w:rsid w:val="00573DD4"/>
    <w:rsid w:val="00575332"/>
    <w:rsid w:val="00575F1E"/>
    <w:rsid w:val="0057602B"/>
    <w:rsid w:val="005761F2"/>
    <w:rsid w:val="00580061"/>
    <w:rsid w:val="0058033C"/>
    <w:rsid w:val="00581A68"/>
    <w:rsid w:val="00581B00"/>
    <w:rsid w:val="0058270E"/>
    <w:rsid w:val="005836AF"/>
    <w:rsid w:val="00583CEE"/>
    <w:rsid w:val="00583DC6"/>
    <w:rsid w:val="00583E0F"/>
    <w:rsid w:val="0058454D"/>
    <w:rsid w:val="0058532E"/>
    <w:rsid w:val="005859DC"/>
    <w:rsid w:val="00585C9B"/>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56"/>
    <w:rsid w:val="005B3177"/>
    <w:rsid w:val="005B351E"/>
    <w:rsid w:val="005B39A2"/>
    <w:rsid w:val="005B420E"/>
    <w:rsid w:val="005B4B60"/>
    <w:rsid w:val="005B4D3C"/>
    <w:rsid w:val="005B56CE"/>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02E"/>
    <w:rsid w:val="005D3317"/>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83"/>
    <w:rsid w:val="0060349C"/>
    <w:rsid w:val="006034A7"/>
    <w:rsid w:val="00604275"/>
    <w:rsid w:val="00604847"/>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304"/>
    <w:rsid w:val="00632E8A"/>
    <w:rsid w:val="00633C5B"/>
    <w:rsid w:val="00633CB5"/>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51AB"/>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378D"/>
    <w:rsid w:val="00654AAC"/>
    <w:rsid w:val="00654B31"/>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0C8"/>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B89"/>
    <w:rsid w:val="006D2ED6"/>
    <w:rsid w:val="006D31C3"/>
    <w:rsid w:val="006D357A"/>
    <w:rsid w:val="006D408E"/>
    <w:rsid w:val="006D5521"/>
    <w:rsid w:val="006D69F9"/>
    <w:rsid w:val="006D6DF3"/>
    <w:rsid w:val="006D7219"/>
    <w:rsid w:val="006D7AD1"/>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7D6C"/>
    <w:rsid w:val="00777FE2"/>
    <w:rsid w:val="007805A4"/>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BA0"/>
    <w:rsid w:val="007A4C89"/>
    <w:rsid w:val="007A4E4B"/>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A4F"/>
    <w:rsid w:val="007C7CF6"/>
    <w:rsid w:val="007D00E0"/>
    <w:rsid w:val="007D011A"/>
    <w:rsid w:val="007D04C2"/>
    <w:rsid w:val="007D089D"/>
    <w:rsid w:val="007D0C80"/>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B00"/>
    <w:rsid w:val="008B22CE"/>
    <w:rsid w:val="008B305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95"/>
    <w:rsid w:val="008F5EC8"/>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C46"/>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C52"/>
    <w:rsid w:val="00987BF7"/>
    <w:rsid w:val="00987DF6"/>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48C"/>
    <w:rsid w:val="009B3569"/>
    <w:rsid w:val="009B36B5"/>
    <w:rsid w:val="009B384B"/>
    <w:rsid w:val="009B3B4E"/>
    <w:rsid w:val="009B3CB4"/>
    <w:rsid w:val="009B4262"/>
    <w:rsid w:val="009B43B6"/>
    <w:rsid w:val="009B43EC"/>
    <w:rsid w:val="009B513A"/>
    <w:rsid w:val="009B5967"/>
    <w:rsid w:val="009B6091"/>
    <w:rsid w:val="009B65D0"/>
    <w:rsid w:val="009B6AAF"/>
    <w:rsid w:val="009B710A"/>
    <w:rsid w:val="009B7ADD"/>
    <w:rsid w:val="009B7D9A"/>
    <w:rsid w:val="009C0082"/>
    <w:rsid w:val="009C03F6"/>
    <w:rsid w:val="009C0DB5"/>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17EA3"/>
    <w:rsid w:val="00A203FA"/>
    <w:rsid w:val="00A20760"/>
    <w:rsid w:val="00A215E8"/>
    <w:rsid w:val="00A217FC"/>
    <w:rsid w:val="00A21A65"/>
    <w:rsid w:val="00A22A3A"/>
    <w:rsid w:val="00A22A97"/>
    <w:rsid w:val="00A235F9"/>
    <w:rsid w:val="00A24669"/>
    <w:rsid w:val="00A2482D"/>
    <w:rsid w:val="00A24C6C"/>
    <w:rsid w:val="00A24C79"/>
    <w:rsid w:val="00A24F4F"/>
    <w:rsid w:val="00A2588A"/>
    <w:rsid w:val="00A25AAD"/>
    <w:rsid w:val="00A25B41"/>
    <w:rsid w:val="00A25C08"/>
    <w:rsid w:val="00A26164"/>
    <w:rsid w:val="00A261FB"/>
    <w:rsid w:val="00A2629A"/>
    <w:rsid w:val="00A2647A"/>
    <w:rsid w:val="00A26541"/>
    <w:rsid w:val="00A270CD"/>
    <w:rsid w:val="00A30EA3"/>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FE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25D4"/>
    <w:rsid w:val="00B929CC"/>
    <w:rsid w:val="00B93746"/>
    <w:rsid w:val="00B93C88"/>
    <w:rsid w:val="00B94204"/>
    <w:rsid w:val="00B9429D"/>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4C79"/>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151F"/>
    <w:rsid w:val="00C21BAF"/>
    <w:rsid w:val="00C237AE"/>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F51"/>
    <w:rsid w:val="00D150AA"/>
    <w:rsid w:val="00D154C1"/>
    <w:rsid w:val="00D15714"/>
    <w:rsid w:val="00D161E1"/>
    <w:rsid w:val="00D16DC0"/>
    <w:rsid w:val="00D176E9"/>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77D98"/>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66E3"/>
    <w:rsid w:val="00DC6962"/>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2910"/>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29C7"/>
    <w:rsid w:val="00E42C21"/>
    <w:rsid w:val="00E42C53"/>
    <w:rsid w:val="00E434B6"/>
    <w:rsid w:val="00E437D2"/>
    <w:rsid w:val="00E43CCD"/>
    <w:rsid w:val="00E44258"/>
    <w:rsid w:val="00E443A8"/>
    <w:rsid w:val="00E44838"/>
    <w:rsid w:val="00E44BCB"/>
    <w:rsid w:val="00E45461"/>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8A0"/>
    <w:rsid w:val="00EB1BDB"/>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273E2"/>
    <w:rsid w:val="00F3100B"/>
    <w:rsid w:val="00F319B4"/>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C3D"/>
    <w:rsid w:val="00F47EA2"/>
    <w:rsid w:val="00F506E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DFC"/>
    <w:rsid w:val="00F91077"/>
    <w:rsid w:val="00F91E13"/>
    <w:rsid w:val="00F931FC"/>
    <w:rsid w:val="00F94662"/>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E4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1600802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8B6D4-2366-46FA-ACDA-A694606F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2024-10-07T14:11:00Z</dcterms:created>
  <dcterms:modified xsi:type="dcterms:W3CDTF">2024-10-07T14:11:00Z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